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21" w:rsidRDefault="007F30A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E0AEE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Pr="008E0AEE">
        <w:rPr>
          <w:rFonts w:ascii="Times New Roman" w:hAnsi="Times New Roman" w:cs="Times New Roman"/>
          <w:b/>
          <w:bCs/>
          <w:sz w:val="32"/>
          <w:szCs w:val="32"/>
        </w:rPr>
        <w:t xml:space="preserve">Jak kot stał się lekarstwem na nerwy? - </w:t>
      </w:r>
      <w:r w:rsidR="00242E2F" w:rsidRPr="008E0AEE">
        <w:rPr>
          <w:rFonts w:ascii="Times New Roman" w:hAnsi="Times New Roman" w:cs="Times New Roman"/>
          <w:b/>
          <w:i/>
          <w:sz w:val="32"/>
          <w:szCs w:val="32"/>
        </w:rPr>
        <w:t xml:space="preserve">Praktyczny pan </w:t>
      </w:r>
    </w:p>
    <w:p w:rsidR="00103405" w:rsidRDefault="0010340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3405" w:rsidRDefault="00103405" w:rsidP="001034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Przepisz temat lekcji.</w:t>
      </w:r>
    </w:p>
    <w:p w:rsidR="00103405" w:rsidRDefault="00103405" w:rsidP="001034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Przeczytaj tekst – </w:t>
      </w:r>
      <w:r w:rsidRPr="0019163F">
        <w:rPr>
          <w:rFonts w:ascii="Times New Roman" w:hAnsi="Times New Roman" w:cs="Times New Roman"/>
          <w:b/>
          <w:i/>
          <w:color w:val="FF0000"/>
          <w:sz w:val="28"/>
          <w:szCs w:val="28"/>
        </w:rPr>
        <w:t>Praktyczny pan</w:t>
      </w:r>
      <w:r w:rsidRPr="001034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str. 278-280. </w:t>
      </w:r>
    </w:p>
    <w:p w:rsidR="0019163F" w:rsidRPr="0019163F" w:rsidRDefault="0019163F" w:rsidP="0019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Zapisz w zeszycie plan ramowy wydarzeń opisanych w tekście.</w:t>
      </w:r>
    </w:p>
    <w:p w:rsidR="0019163F" w:rsidRPr="0019163F" w:rsidRDefault="0019163F" w:rsidP="001916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 jest potrzebne, żeby kot mruczał? Czy tylko zabawki? Odpowiedz na pytanie. </w:t>
      </w:r>
    </w:p>
    <w:p w:rsidR="0019163F" w:rsidRDefault="0019163F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51DD" w:rsidRDefault="0019163F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94402B0" wp14:editId="02FEF380">
            <wp:extent cx="5760720" cy="4320540"/>
            <wp:effectExtent l="0" t="0" r="0" b="3810"/>
            <wp:docPr id="1" name="Obraz 1" descr="Synonimy Antonimy Neologizmy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onimy Antonimy Neologizmy Et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EC1" w:rsidRDefault="00B827A0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Zapoznaj się z definicją antonimów. </w:t>
      </w:r>
    </w:p>
    <w:p w:rsidR="00B827A0" w:rsidRDefault="00B827A0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Zapisz w zeszycie trzy własne przykłady.</w:t>
      </w:r>
    </w:p>
    <w:p w:rsidR="00A551DD" w:rsidRDefault="00A551DD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1D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drawing>
          <wp:inline distT="0" distB="0" distL="0" distR="0" wp14:anchorId="4432E6F0" wp14:editId="6FD25B21">
            <wp:extent cx="5760720" cy="4320540"/>
            <wp:effectExtent l="0" t="0" r="0" b="3810"/>
            <wp:docPr id="2" name="Obraz 2" descr="Synonimy Antonimy Neologizmy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onimy Antonimy Neologizmy Et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B8A" w:rsidRDefault="004A6B8A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Zapoznaj się z definicją synonimów. Zapisz w zeszycie trzy własne przykłady. </w:t>
      </w:r>
    </w:p>
    <w:p w:rsidR="005D5CA8" w:rsidRDefault="005D5CA8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5CA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drawing>
          <wp:inline distT="0" distB="0" distL="0" distR="0" wp14:anchorId="34221D67" wp14:editId="1BCEBFFA">
            <wp:extent cx="5760720" cy="8149019"/>
            <wp:effectExtent l="0" t="0" r="0" b="4445"/>
            <wp:docPr id="3" name="Obraz 3" descr="Białe – czarne, dobre – złe, czyli świat przeciwieńst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ałe – czarne, dobre – złe, czyli świat przeciwieństw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BD" w:rsidRPr="0019163F" w:rsidRDefault="00F90FBD" w:rsidP="0019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Dobierz po 4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pary antonimów i synonimów. </w:t>
      </w:r>
    </w:p>
    <w:sectPr w:rsidR="00F90FBD" w:rsidRPr="0019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C57"/>
    <w:multiLevelType w:val="hybridMultilevel"/>
    <w:tmpl w:val="6D68C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F"/>
    <w:rsid w:val="00103405"/>
    <w:rsid w:val="0019163F"/>
    <w:rsid w:val="00242E2F"/>
    <w:rsid w:val="004A6B8A"/>
    <w:rsid w:val="005D5CA8"/>
    <w:rsid w:val="006B4A21"/>
    <w:rsid w:val="007F30A0"/>
    <w:rsid w:val="008E0AEE"/>
    <w:rsid w:val="00937EC1"/>
    <w:rsid w:val="00A551DD"/>
    <w:rsid w:val="00B827A0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2020-04-26T12:40:00Z</dcterms:created>
  <dcterms:modified xsi:type="dcterms:W3CDTF">2020-04-26T13:05:00Z</dcterms:modified>
</cp:coreProperties>
</file>